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4AB9A" w14:textId="77777777" w:rsidR="000B6DDA" w:rsidRDefault="000B6DDA" w:rsidP="000B6DDA">
      <w:pPr>
        <w:rPr>
          <w:rFonts w:ascii="Arial" w:eastAsia="Arial" w:hAnsi="Arial" w:cs="Arial"/>
        </w:rPr>
      </w:pPr>
      <w:bookmarkStart w:id="0" w:name="_Toc142647089"/>
    </w:p>
    <w:p w14:paraId="437A13C2" w14:textId="630A1C94" w:rsidR="000B6DDA" w:rsidRDefault="000B6DDA" w:rsidP="000B6DDA">
      <w:pPr>
        <w:ind w:firstLine="2410"/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</w:pPr>
      <w:r w:rsidRPr="00CB5F8B">
        <w:rPr>
          <w:b/>
          <w:noProof/>
          <w:color w:val="000000"/>
        </w:rPr>
        <w:drawing>
          <wp:inline distT="0" distB="0" distL="0" distR="0" wp14:anchorId="1704CC1F" wp14:editId="2E177843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56D6241" wp14:editId="605F2F21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E9FE4D2" wp14:editId="171A3258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F099A91" w14:textId="6B66027B" w:rsidR="007E4C0C" w:rsidRPr="00C8574E" w:rsidRDefault="007E4C0C" w:rsidP="007E4C0C">
      <w:pPr>
        <w:widowControl w:val="0"/>
        <w:autoSpaceDE w:val="0"/>
        <w:autoSpaceDN w:val="0"/>
        <w:spacing w:before="71" w:after="0" w:line="240" w:lineRule="auto"/>
        <w:ind w:left="7104" w:right="23" w:firstLine="834"/>
        <w:outlineLvl w:val="0"/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</w:pPr>
      <w:r w:rsidRPr="00C8574E"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  <w:t>ALLEGATO A2</w:t>
      </w:r>
      <w:bookmarkEnd w:id="0"/>
      <w:r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  <w:fldChar w:fldCharType="begin"/>
      </w:r>
      <w:r>
        <w:instrText xml:space="preserve"> XE "</w:instrText>
      </w:r>
      <w:r w:rsidRPr="00E4212B"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  <w:instrText>ALLEGATO A2</w:instrText>
      </w:r>
      <w:r>
        <w:instrText xml:space="preserve">" </w:instrText>
      </w:r>
      <w:r>
        <w:rPr>
          <w:rFonts w:asciiTheme="minorHAnsi" w:eastAsia="Arial" w:hAnsiTheme="minorHAnsi" w:cstheme="minorHAnsi"/>
          <w:b/>
          <w:bCs/>
          <w:sz w:val="24"/>
          <w:szCs w:val="24"/>
          <w:lang w:eastAsia="en-US"/>
        </w:rPr>
        <w:fldChar w:fldCharType="end"/>
      </w:r>
    </w:p>
    <w:p w14:paraId="7E7B537C" w14:textId="77777777" w:rsidR="007E4C0C" w:rsidRPr="00C8574E" w:rsidRDefault="007E4C0C" w:rsidP="007E4C0C">
      <w:pPr>
        <w:widowControl w:val="0"/>
        <w:autoSpaceDE w:val="0"/>
        <w:autoSpaceDN w:val="0"/>
        <w:spacing w:after="0" w:line="240" w:lineRule="auto"/>
        <w:ind w:right="23"/>
        <w:rPr>
          <w:rFonts w:ascii="Arial" w:eastAsia="Arial" w:hAnsi="Arial" w:cs="Arial"/>
          <w:b/>
          <w:sz w:val="26"/>
          <w:szCs w:val="20"/>
          <w:lang w:eastAsia="x-none"/>
        </w:rPr>
      </w:pPr>
    </w:p>
    <w:p w14:paraId="187B81F8" w14:textId="77777777" w:rsidR="007E4C0C" w:rsidRPr="00C8574E" w:rsidRDefault="007E4C0C" w:rsidP="007E4C0C">
      <w:pPr>
        <w:spacing w:line="276" w:lineRule="auto"/>
        <w:ind w:right="23"/>
        <w:jc w:val="center"/>
        <w:rPr>
          <w:rFonts w:ascii="Arial" w:hAnsi="Arial" w:cs="Arial"/>
          <w:b/>
          <w:lang w:eastAsia="en-US"/>
        </w:rPr>
      </w:pPr>
      <w:r w:rsidRPr="00C8574E">
        <w:rPr>
          <w:rFonts w:ascii="Arial" w:hAnsi="Arial" w:cs="Arial"/>
          <w:b/>
          <w:lang w:eastAsia="en-US"/>
        </w:rPr>
        <w:t>DETERMINAZIONE DEI TETTI MASSIMI DI SPESA PER INTERVENTI IMMOBILIARI</w:t>
      </w:r>
    </w:p>
    <w:p w14:paraId="5535BC11" w14:textId="77777777" w:rsidR="007E4C0C" w:rsidRPr="00C2597D" w:rsidRDefault="007E4C0C" w:rsidP="007E4C0C">
      <w:pPr>
        <w:spacing w:before="4"/>
        <w:ind w:right="23"/>
        <w:rPr>
          <w:rFonts w:ascii="Arial" w:hAnsi="Arial" w:cs="Arial"/>
          <w:b/>
          <w:sz w:val="20"/>
          <w:szCs w:val="20"/>
          <w:lang w:eastAsia="en-US"/>
        </w:rPr>
      </w:pPr>
    </w:p>
    <w:p w14:paraId="097CC221" w14:textId="72E2E398" w:rsidR="007E4C0C" w:rsidRPr="00C2597D" w:rsidRDefault="007E4C0C" w:rsidP="007E4C0C">
      <w:pPr>
        <w:spacing w:before="40"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Al fine di rendere più agevole la determinazione della ragionevolezza della spesa prevista per la realizzazione degli investimenti oggetto delle domande di sost</w:t>
      </w:r>
      <w:r w:rsidR="00C549EF">
        <w:rPr>
          <w:rFonts w:ascii="Arial" w:hAnsi="Arial" w:cs="Arial"/>
          <w:sz w:val="20"/>
          <w:szCs w:val="20"/>
          <w:lang w:eastAsia="en-US"/>
        </w:rPr>
        <w:t xml:space="preserve">egno per il bando PNNR FRANTOI, </w:t>
      </w:r>
      <w:r w:rsidRPr="00C2597D">
        <w:rPr>
          <w:rFonts w:ascii="Arial" w:hAnsi="Arial" w:cs="Arial"/>
          <w:sz w:val="20"/>
          <w:szCs w:val="20"/>
          <w:lang w:eastAsia="en-US"/>
        </w:rPr>
        <w:t>nella tabella sotto riportata vengono individuati i tetti massimi di spesa, in termini di €/mq di superficie utile coperta per le principali categorie di strutture di trasformazione, complete in tutte le loro parti.</w:t>
      </w:r>
    </w:p>
    <w:p w14:paraId="12301953" w14:textId="77777777" w:rsidR="007E4C0C" w:rsidRPr="00C2597D" w:rsidRDefault="007E4C0C" w:rsidP="007E4C0C">
      <w:pPr>
        <w:spacing w:after="0" w:line="252" w:lineRule="exact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I tetti massimi di spesa comprendono:</w:t>
      </w:r>
    </w:p>
    <w:p w14:paraId="5A483481" w14:textId="77777777" w:rsidR="007E4C0C" w:rsidRPr="00C2597D" w:rsidRDefault="007E4C0C" w:rsidP="007E4C0C">
      <w:pPr>
        <w:widowControl w:val="0"/>
        <w:numPr>
          <w:ilvl w:val="0"/>
          <w:numId w:val="1"/>
        </w:numPr>
        <w:tabs>
          <w:tab w:val="left" w:pos="1039"/>
          <w:tab w:val="left" w:pos="1040"/>
        </w:tabs>
        <w:autoSpaceDE w:val="0"/>
        <w:autoSpaceDN w:val="0"/>
        <w:spacing w:after="0" w:line="240" w:lineRule="auto"/>
        <w:ind w:left="0" w:right="23" w:firstLine="0"/>
        <w:rPr>
          <w:rFonts w:ascii="Arial" w:eastAsia="Arial" w:hAnsi="Arial" w:cs="Arial"/>
          <w:sz w:val="20"/>
          <w:szCs w:val="20"/>
          <w:lang w:eastAsia="x-none"/>
        </w:rPr>
      </w:pPr>
      <w:proofErr w:type="gramStart"/>
      <w:r w:rsidRPr="00C2597D">
        <w:rPr>
          <w:rFonts w:ascii="Arial" w:eastAsia="Arial" w:hAnsi="Arial" w:cs="Arial"/>
          <w:sz w:val="20"/>
          <w:szCs w:val="20"/>
          <w:lang w:eastAsia="x-none"/>
        </w:rPr>
        <w:t>spese</w:t>
      </w:r>
      <w:proofErr w:type="gramEnd"/>
      <w:r w:rsidRPr="00C2597D">
        <w:rPr>
          <w:rFonts w:ascii="Arial" w:eastAsia="Arial" w:hAnsi="Arial" w:cs="Arial"/>
          <w:sz w:val="20"/>
          <w:szCs w:val="20"/>
          <w:lang w:eastAsia="x-none"/>
        </w:rPr>
        <w:t xml:space="preserve"> generali ed utile d’impresa;</w:t>
      </w:r>
    </w:p>
    <w:p w14:paraId="1F133146" w14:textId="77777777" w:rsidR="007E4C0C" w:rsidRPr="00C2597D" w:rsidRDefault="007E4C0C" w:rsidP="007E4C0C">
      <w:pPr>
        <w:widowControl w:val="0"/>
        <w:numPr>
          <w:ilvl w:val="0"/>
          <w:numId w:val="1"/>
        </w:numPr>
        <w:tabs>
          <w:tab w:val="left" w:pos="1039"/>
          <w:tab w:val="left" w:pos="1040"/>
        </w:tabs>
        <w:autoSpaceDE w:val="0"/>
        <w:autoSpaceDN w:val="0"/>
        <w:spacing w:after="0" w:line="240" w:lineRule="auto"/>
        <w:ind w:left="0" w:right="-285" w:firstLine="0"/>
        <w:rPr>
          <w:rFonts w:ascii="Arial" w:eastAsia="Arial" w:hAnsi="Arial" w:cs="Arial"/>
          <w:sz w:val="20"/>
          <w:szCs w:val="20"/>
          <w:lang w:eastAsia="x-none"/>
        </w:rPr>
      </w:pPr>
      <w:proofErr w:type="gramStart"/>
      <w:r w:rsidRPr="00C2597D">
        <w:rPr>
          <w:rFonts w:ascii="Arial" w:eastAsia="Arial" w:hAnsi="Arial" w:cs="Arial"/>
          <w:sz w:val="20"/>
          <w:szCs w:val="20"/>
          <w:lang w:eastAsia="x-none"/>
        </w:rPr>
        <w:t>le</w:t>
      </w:r>
      <w:proofErr w:type="gramEnd"/>
      <w:r w:rsidRPr="00C2597D">
        <w:rPr>
          <w:rFonts w:ascii="Arial" w:eastAsia="Arial" w:hAnsi="Arial" w:cs="Arial"/>
          <w:sz w:val="20"/>
          <w:szCs w:val="20"/>
          <w:lang w:eastAsia="x-none"/>
        </w:rPr>
        <w:t xml:space="preserve"> misure di sicurezza collettive e personali.</w:t>
      </w:r>
    </w:p>
    <w:p w14:paraId="3E56204C" w14:textId="77777777" w:rsidR="007E4C0C" w:rsidRPr="00C2597D" w:rsidRDefault="007E4C0C" w:rsidP="007E4C0C">
      <w:pPr>
        <w:spacing w:after="0" w:line="252" w:lineRule="exact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921E399" w14:textId="77777777" w:rsidR="007E4C0C" w:rsidRPr="00C2597D" w:rsidRDefault="007E4C0C" w:rsidP="007E4C0C">
      <w:pPr>
        <w:spacing w:after="0" w:line="252" w:lineRule="exact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Non sono compresi nei tetti massimi:</w:t>
      </w:r>
    </w:p>
    <w:p w14:paraId="74250BD7" w14:textId="77777777" w:rsidR="007E4C0C" w:rsidRPr="00C2597D" w:rsidRDefault="007E4C0C" w:rsidP="007E4C0C">
      <w:pPr>
        <w:widowControl w:val="0"/>
        <w:numPr>
          <w:ilvl w:val="0"/>
          <w:numId w:val="1"/>
        </w:numPr>
        <w:tabs>
          <w:tab w:val="left" w:pos="1039"/>
          <w:tab w:val="left" w:pos="1040"/>
        </w:tabs>
        <w:autoSpaceDE w:val="0"/>
        <w:autoSpaceDN w:val="0"/>
        <w:spacing w:after="0" w:line="240" w:lineRule="auto"/>
        <w:ind w:left="0" w:right="23" w:firstLine="0"/>
        <w:rPr>
          <w:rFonts w:ascii="Arial" w:eastAsia="Arial" w:hAnsi="Arial" w:cs="Arial"/>
          <w:sz w:val="20"/>
          <w:szCs w:val="20"/>
          <w:lang w:eastAsia="x-none"/>
        </w:rPr>
      </w:pPr>
      <w:r w:rsidRPr="00C2597D">
        <w:rPr>
          <w:rFonts w:ascii="Arial" w:eastAsia="Arial" w:hAnsi="Arial" w:cs="Arial"/>
          <w:sz w:val="20"/>
          <w:szCs w:val="20"/>
          <w:lang w:eastAsia="x-none"/>
        </w:rPr>
        <w:t>l’IVA;</w:t>
      </w:r>
    </w:p>
    <w:p w14:paraId="4C443E33" w14:textId="77777777" w:rsidR="007E4C0C" w:rsidRPr="00C2597D" w:rsidRDefault="007E4C0C" w:rsidP="007E4C0C">
      <w:pPr>
        <w:widowControl w:val="0"/>
        <w:numPr>
          <w:ilvl w:val="0"/>
          <w:numId w:val="1"/>
        </w:numPr>
        <w:tabs>
          <w:tab w:val="left" w:pos="1039"/>
          <w:tab w:val="left" w:pos="1040"/>
        </w:tabs>
        <w:autoSpaceDE w:val="0"/>
        <w:autoSpaceDN w:val="0"/>
        <w:spacing w:after="0" w:line="240" w:lineRule="auto"/>
        <w:ind w:left="0" w:right="23" w:firstLine="0"/>
        <w:rPr>
          <w:rFonts w:ascii="Arial" w:eastAsia="Arial" w:hAnsi="Arial" w:cs="Arial"/>
          <w:sz w:val="20"/>
          <w:szCs w:val="20"/>
          <w:lang w:eastAsia="x-none"/>
        </w:rPr>
      </w:pPr>
      <w:proofErr w:type="gramStart"/>
      <w:r w:rsidRPr="00C2597D">
        <w:rPr>
          <w:rFonts w:ascii="Arial" w:eastAsia="Arial" w:hAnsi="Arial" w:cs="Arial"/>
          <w:sz w:val="20"/>
          <w:szCs w:val="20"/>
          <w:lang w:eastAsia="x-none"/>
        </w:rPr>
        <w:t>le</w:t>
      </w:r>
      <w:proofErr w:type="gramEnd"/>
      <w:r w:rsidRPr="00C2597D">
        <w:rPr>
          <w:rFonts w:ascii="Arial" w:eastAsia="Arial" w:hAnsi="Arial" w:cs="Arial"/>
          <w:sz w:val="20"/>
          <w:szCs w:val="20"/>
          <w:lang w:eastAsia="x-none"/>
        </w:rPr>
        <w:t xml:space="preserve"> spese tecniche di progettazione e direzione lavori.</w:t>
      </w:r>
    </w:p>
    <w:p w14:paraId="7113178C" w14:textId="77777777" w:rsidR="007E4C0C" w:rsidRPr="00C2597D" w:rsidRDefault="007E4C0C" w:rsidP="007E4C0C">
      <w:pPr>
        <w:widowControl w:val="0"/>
        <w:tabs>
          <w:tab w:val="left" w:pos="1039"/>
          <w:tab w:val="left" w:pos="1040"/>
        </w:tabs>
        <w:autoSpaceDE w:val="0"/>
        <w:autoSpaceDN w:val="0"/>
        <w:spacing w:before="39" w:after="0" w:line="240" w:lineRule="auto"/>
        <w:ind w:right="23"/>
        <w:rPr>
          <w:rFonts w:ascii="Arial" w:eastAsia="Arial" w:hAnsi="Arial" w:cs="Arial"/>
          <w:sz w:val="20"/>
          <w:szCs w:val="20"/>
          <w:lang w:eastAsia="x-none"/>
        </w:rPr>
      </w:pPr>
    </w:p>
    <w:p w14:paraId="047B3AB8" w14:textId="718A58A4" w:rsidR="007E4C0C" w:rsidRPr="00C2597D" w:rsidRDefault="007E4C0C" w:rsidP="007E4C0C">
      <w:pPr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I tetti massimi di spesa</w:t>
      </w:r>
      <w:r w:rsidRPr="00C2597D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C2597D">
        <w:rPr>
          <w:rFonts w:ascii="Arial" w:hAnsi="Arial" w:cs="Arial"/>
          <w:sz w:val="20"/>
          <w:szCs w:val="20"/>
          <w:lang w:eastAsia="en-US"/>
        </w:rPr>
        <w:t>per la quale è possibile assentire il sost</w:t>
      </w:r>
      <w:r w:rsidR="00567F39">
        <w:rPr>
          <w:rFonts w:ascii="Arial" w:hAnsi="Arial" w:cs="Arial"/>
          <w:sz w:val="20"/>
          <w:szCs w:val="20"/>
          <w:lang w:eastAsia="en-US"/>
        </w:rPr>
        <w:t xml:space="preserve">egno previsto dal PNRR FRANTOI </w:t>
      </w:r>
      <w:r w:rsidRPr="00C2597D">
        <w:rPr>
          <w:rFonts w:ascii="Arial" w:hAnsi="Arial" w:cs="Arial"/>
          <w:sz w:val="20"/>
          <w:szCs w:val="20"/>
          <w:lang w:eastAsia="en-US"/>
        </w:rPr>
        <w:t>per costruzione di nuove strutture edili complete di impiantistica di base (l’insieme degli impianti elettrico, idrico, termico e condizionamento, specifici per ogni tipologia di investimento) sono i seguenti:</w:t>
      </w:r>
    </w:p>
    <w:tbl>
      <w:tblPr>
        <w:tblW w:w="8922" w:type="dxa"/>
        <w:tblInd w:w="7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1"/>
        <w:gridCol w:w="142"/>
        <w:gridCol w:w="1919"/>
      </w:tblGrid>
      <w:tr w:rsidR="007E4C0C" w:rsidRPr="00C2597D" w14:paraId="5C51FD3E" w14:textId="77777777" w:rsidTr="002F3DC1">
        <w:trPr>
          <w:trHeight w:val="255"/>
        </w:trPr>
        <w:tc>
          <w:tcPr>
            <w:tcW w:w="6861" w:type="dxa"/>
          </w:tcPr>
          <w:p w14:paraId="068844D8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0" w:right="23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Tettoia aperta </w:t>
            </w:r>
            <w:r w:rsidRPr="00C2597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(solo se connessa a impianti di trasformazione):</w:t>
            </w:r>
          </w:p>
          <w:p w14:paraId="34C5B516" w14:textId="77777777" w:rsidR="007E4C0C" w:rsidRPr="00C2597D" w:rsidRDefault="007E4C0C" w:rsidP="002F3DC1">
            <w:pPr>
              <w:widowControl w:val="0"/>
              <w:tabs>
                <w:tab w:val="left" w:pos="496"/>
              </w:tabs>
              <w:autoSpaceDE w:val="0"/>
              <w:autoSpaceDN w:val="0"/>
              <w:spacing w:after="0" w:line="217" w:lineRule="exact"/>
              <w:ind w:right="2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" w:type="dxa"/>
          </w:tcPr>
          <w:p w14:paraId="1FC0E3B0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2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  <w:p w14:paraId="45EB907B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2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14:paraId="7912ABB3" w14:textId="63777BD2" w:rsidR="007E4C0C" w:rsidRPr="00C2597D" w:rsidRDefault="00567F39" w:rsidP="002F3DC1">
            <w:pPr>
              <w:widowControl w:val="0"/>
              <w:autoSpaceDE w:val="0"/>
              <w:autoSpaceDN w:val="0"/>
              <w:spacing w:after="0" w:line="217" w:lineRule="exact"/>
              <w:ind w:right="23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   </w:t>
            </w:r>
            <w:bookmarkStart w:id="1" w:name="_GoBack"/>
            <w:bookmarkEnd w:id="1"/>
            <w:r w:rsidR="007E4C0C"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€ 250/mq di </w:t>
            </w:r>
            <w:proofErr w:type="spellStart"/>
            <w:r w:rsidR="007E4C0C"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  <w:tr w:rsidR="007E4C0C" w:rsidRPr="00C2597D" w14:paraId="5504F057" w14:textId="77777777" w:rsidTr="002F3DC1">
        <w:trPr>
          <w:trHeight w:val="545"/>
        </w:trPr>
        <w:tc>
          <w:tcPr>
            <w:tcW w:w="6861" w:type="dxa"/>
          </w:tcPr>
          <w:p w14:paraId="506D203E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199" w:right="516" w:hanging="19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Locali per lavorazione, manipolazione</w:t>
            </w:r>
            <w:r w:rsidRPr="00C2597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  <w:t xml:space="preserve">, </w:t>
            </w: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trasformazione, conservazione dei prodotti </w:t>
            </w:r>
          </w:p>
        </w:tc>
        <w:tc>
          <w:tcPr>
            <w:tcW w:w="2061" w:type="dxa"/>
            <w:gridSpan w:val="2"/>
            <w:vAlign w:val="center"/>
          </w:tcPr>
          <w:p w14:paraId="057AD9DF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35" w:lineRule="exact"/>
              <w:ind w:left="513" w:right="23" w:hanging="42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€ 1.000/mq di </w:t>
            </w:r>
            <w:proofErr w:type="spellStart"/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</w:tbl>
    <w:p w14:paraId="39851984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230A39C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Le soglie massime di ammissibilità della spesa per la ristrutturazione di edifici esistenti quando sono previste opere strutturali (fondazioni, muri portanti, solai, cordoli, strutture portanti di copertura ecc.) sono le seguenti:</w:t>
      </w:r>
    </w:p>
    <w:p w14:paraId="5F017C86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tbl>
      <w:tblPr>
        <w:tblW w:w="8845" w:type="dxa"/>
        <w:tblInd w:w="7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6"/>
        <w:gridCol w:w="284"/>
        <w:gridCol w:w="2125"/>
      </w:tblGrid>
      <w:tr w:rsidR="007E4C0C" w:rsidRPr="00C2597D" w14:paraId="5DD0AA87" w14:textId="77777777" w:rsidTr="002F3DC1">
        <w:trPr>
          <w:trHeight w:val="315"/>
        </w:trPr>
        <w:tc>
          <w:tcPr>
            <w:tcW w:w="6436" w:type="dxa"/>
          </w:tcPr>
          <w:p w14:paraId="57130D40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0" w:right="23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Tettoia aperta </w:t>
            </w:r>
            <w:r w:rsidRPr="00C2597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(solo se connessa a impianti di trasformazione):</w:t>
            </w:r>
          </w:p>
          <w:p w14:paraId="10F031A9" w14:textId="77777777" w:rsidR="007E4C0C" w:rsidRPr="00C2597D" w:rsidRDefault="007E4C0C" w:rsidP="002F3DC1">
            <w:pPr>
              <w:widowControl w:val="0"/>
              <w:tabs>
                <w:tab w:val="left" w:pos="496"/>
              </w:tabs>
              <w:autoSpaceDE w:val="0"/>
              <w:autoSpaceDN w:val="0"/>
              <w:spacing w:after="0" w:line="217" w:lineRule="exact"/>
              <w:ind w:right="2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4" w:type="dxa"/>
          </w:tcPr>
          <w:p w14:paraId="69ADD8F7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23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</w:tcPr>
          <w:p w14:paraId="4D695AE4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23" w:hanging="1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   € 187,5/mq di </w:t>
            </w:r>
            <w:proofErr w:type="spellStart"/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  <w:tr w:rsidR="007E4C0C" w:rsidRPr="00C2597D" w14:paraId="369CA418" w14:textId="77777777" w:rsidTr="002F3DC1">
        <w:trPr>
          <w:trHeight w:val="545"/>
        </w:trPr>
        <w:tc>
          <w:tcPr>
            <w:tcW w:w="6436" w:type="dxa"/>
          </w:tcPr>
          <w:p w14:paraId="292AE4BF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199" w:right="346" w:hanging="19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Locali per lavorazione, manipolazione</w:t>
            </w:r>
            <w:r w:rsidRPr="00C2597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  <w:t xml:space="preserve">, </w:t>
            </w: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trasformazione, conservazione dei prodotti </w:t>
            </w:r>
          </w:p>
        </w:tc>
        <w:tc>
          <w:tcPr>
            <w:tcW w:w="2409" w:type="dxa"/>
            <w:gridSpan w:val="2"/>
            <w:vAlign w:val="center"/>
          </w:tcPr>
          <w:p w14:paraId="6D9635D8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35" w:lineRule="exact"/>
              <w:ind w:right="23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         € 750/mq di </w:t>
            </w:r>
            <w:proofErr w:type="spellStart"/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</w:tbl>
    <w:p w14:paraId="324FF3AD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0440E36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C2597D">
        <w:rPr>
          <w:rFonts w:ascii="Arial" w:hAnsi="Arial" w:cs="Arial"/>
          <w:sz w:val="20"/>
          <w:szCs w:val="20"/>
          <w:lang w:eastAsia="en-US"/>
        </w:rPr>
        <w:t>Per opere di ristrutturazione di edifici esistenti che non implicano interventi strutturali:</w:t>
      </w:r>
    </w:p>
    <w:p w14:paraId="0DE209B5" w14:textId="77777777" w:rsidR="007E4C0C" w:rsidRPr="00C2597D" w:rsidRDefault="007E4C0C" w:rsidP="007E4C0C">
      <w:pPr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tbl>
      <w:tblPr>
        <w:tblW w:w="0" w:type="auto"/>
        <w:tblInd w:w="7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1"/>
        <w:gridCol w:w="381"/>
        <w:gridCol w:w="1919"/>
      </w:tblGrid>
      <w:tr w:rsidR="007E4C0C" w:rsidRPr="00C2597D" w14:paraId="77989F83" w14:textId="77777777" w:rsidTr="002F3DC1">
        <w:trPr>
          <w:trHeight w:val="255"/>
        </w:trPr>
        <w:tc>
          <w:tcPr>
            <w:tcW w:w="6631" w:type="dxa"/>
          </w:tcPr>
          <w:p w14:paraId="339B214C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0" w:right="23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Tettoia aperta </w:t>
            </w:r>
            <w:r w:rsidRPr="00C2597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(solo se connessa a impianti di trasformazione):</w:t>
            </w:r>
          </w:p>
          <w:p w14:paraId="61593175" w14:textId="77777777" w:rsidR="007E4C0C" w:rsidRPr="00C2597D" w:rsidRDefault="007E4C0C" w:rsidP="002F3DC1">
            <w:pPr>
              <w:widowControl w:val="0"/>
              <w:tabs>
                <w:tab w:val="left" w:pos="496"/>
              </w:tabs>
              <w:autoSpaceDE w:val="0"/>
              <w:autoSpaceDN w:val="0"/>
              <w:spacing w:after="0" w:line="217" w:lineRule="exact"/>
              <w:ind w:right="2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81" w:type="dxa"/>
          </w:tcPr>
          <w:p w14:paraId="35CB2EF8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-5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14:paraId="4ED5B549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17" w:lineRule="exact"/>
              <w:ind w:right="23" w:hanging="9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€ 125/mq di </w:t>
            </w:r>
            <w:proofErr w:type="spellStart"/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  <w:tr w:rsidR="007E4C0C" w:rsidRPr="00C2597D" w14:paraId="7D0EFACF" w14:textId="77777777" w:rsidTr="002F3DC1">
        <w:trPr>
          <w:trHeight w:val="545"/>
        </w:trPr>
        <w:tc>
          <w:tcPr>
            <w:tcW w:w="6631" w:type="dxa"/>
          </w:tcPr>
          <w:p w14:paraId="352C574E" w14:textId="77777777" w:rsidR="007E4C0C" w:rsidRPr="00C2597D" w:rsidRDefault="007E4C0C" w:rsidP="007E4C0C">
            <w:pPr>
              <w:widowControl w:val="0"/>
              <w:numPr>
                <w:ilvl w:val="0"/>
                <w:numId w:val="2"/>
              </w:numPr>
              <w:tabs>
                <w:tab w:val="left" w:pos="199"/>
              </w:tabs>
              <w:autoSpaceDE w:val="0"/>
              <w:autoSpaceDN w:val="0"/>
              <w:spacing w:after="0" w:line="217" w:lineRule="exact"/>
              <w:ind w:left="199" w:right="337" w:hanging="19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Locali per lavorazione, manipolazione</w:t>
            </w:r>
            <w:r w:rsidRPr="00C2597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  <w:t xml:space="preserve">, </w:t>
            </w: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trasformazione, conservazione dei prodotti </w:t>
            </w:r>
          </w:p>
        </w:tc>
        <w:tc>
          <w:tcPr>
            <w:tcW w:w="2300" w:type="dxa"/>
            <w:gridSpan w:val="2"/>
            <w:vAlign w:val="center"/>
          </w:tcPr>
          <w:p w14:paraId="011E28C7" w14:textId="77777777" w:rsidR="007E4C0C" w:rsidRPr="00C2597D" w:rsidRDefault="007E4C0C" w:rsidP="002F3DC1">
            <w:pPr>
              <w:widowControl w:val="0"/>
              <w:autoSpaceDE w:val="0"/>
              <w:autoSpaceDN w:val="0"/>
              <w:spacing w:after="0" w:line="235" w:lineRule="exact"/>
              <w:ind w:right="23" w:firstLine="23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€ 500/mq di </w:t>
            </w:r>
            <w:proofErr w:type="spellStart"/>
            <w:r w:rsidRPr="00C2597D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suc</w:t>
            </w:r>
            <w:proofErr w:type="spellEnd"/>
          </w:p>
        </w:tc>
      </w:tr>
    </w:tbl>
    <w:p w14:paraId="42B8D0F6" w14:textId="77777777" w:rsidR="007E4C0C" w:rsidRPr="00C2597D" w:rsidRDefault="007E4C0C" w:rsidP="007E4C0C">
      <w:pPr>
        <w:spacing w:before="120" w:after="120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F748CC7" w14:textId="5772E6A9" w:rsidR="00784EF0" w:rsidRDefault="007E4C0C" w:rsidP="008F52BC">
      <w:pPr>
        <w:spacing w:after="0" w:line="276" w:lineRule="auto"/>
        <w:ind w:right="23"/>
        <w:jc w:val="both"/>
      </w:pPr>
      <w:r w:rsidRPr="00C2597D">
        <w:rPr>
          <w:rFonts w:ascii="Arial" w:hAnsi="Arial" w:cs="Arial"/>
          <w:sz w:val="20"/>
          <w:szCs w:val="20"/>
          <w:lang w:eastAsia="en-US"/>
        </w:rPr>
        <w:t xml:space="preserve">In ogni caso in sede di domanda deve essere indicata la spesa effettivamente preventivata. Gli importi massimi indicati sono tetti di spesa e non prezzi di riferimento. È importante verificare preventivamente il costo da inserire nella domanda di sostegno in base a computi metrici e/o preventivi. Indicare in domanda costi per la realizzazione/ristrutturazione dei fabbricati aziendali superiori a quelli effettivi, ancorché nei limiti della tabella sopra riportata, determina l’applicazione delle sanzioni previste dallo specifico impegno riportato nell’Allegato A8. </w:t>
      </w:r>
    </w:p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25B86"/>
    <w:multiLevelType w:val="hybridMultilevel"/>
    <w:tmpl w:val="D1C626A0"/>
    <w:lvl w:ilvl="0" w:tplc="2A684826">
      <w:numFmt w:val="bullet"/>
      <w:lvlText w:val="-"/>
      <w:lvlJc w:val="left"/>
      <w:pPr>
        <w:ind w:left="1211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1" w:tplc="3066480E">
      <w:start w:val="4"/>
      <w:numFmt w:val="upperLetter"/>
      <w:lvlText w:val="%2)"/>
      <w:lvlJc w:val="left"/>
      <w:pPr>
        <w:ind w:left="1180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 w:tplc="A32EA040">
      <w:numFmt w:val="bullet"/>
      <w:lvlText w:val="•"/>
      <w:lvlJc w:val="left"/>
      <w:pPr>
        <w:ind w:left="2262" w:hanging="360"/>
      </w:pPr>
      <w:rPr>
        <w:rFonts w:hint="default"/>
        <w:lang w:val="it-IT" w:eastAsia="it-IT" w:bidi="it-IT"/>
      </w:rPr>
    </w:lvl>
    <w:lvl w:ilvl="3" w:tplc="31EA2D3C">
      <w:numFmt w:val="bullet"/>
      <w:lvlText w:val="•"/>
      <w:lvlJc w:val="left"/>
      <w:pPr>
        <w:ind w:left="3344" w:hanging="360"/>
      </w:pPr>
      <w:rPr>
        <w:rFonts w:hint="default"/>
        <w:lang w:val="it-IT" w:eastAsia="it-IT" w:bidi="it-IT"/>
      </w:rPr>
    </w:lvl>
    <w:lvl w:ilvl="4" w:tplc="B9FC6BD6">
      <w:numFmt w:val="bullet"/>
      <w:lvlText w:val="•"/>
      <w:lvlJc w:val="left"/>
      <w:pPr>
        <w:ind w:left="4426" w:hanging="360"/>
      </w:pPr>
      <w:rPr>
        <w:rFonts w:hint="default"/>
        <w:lang w:val="it-IT" w:eastAsia="it-IT" w:bidi="it-IT"/>
      </w:rPr>
    </w:lvl>
    <w:lvl w:ilvl="5" w:tplc="7E7AAF86">
      <w:numFmt w:val="bullet"/>
      <w:lvlText w:val="•"/>
      <w:lvlJc w:val="left"/>
      <w:pPr>
        <w:ind w:left="5508" w:hanging="360"/>
      </w:pPr>
      <w:rPr>
        <w:rFonts w:hint="default"/>
        <w:lang w:val="it-IT" w:eastAsia="it-IT" w:bidi="it-IT"/>
      </w:rPr>
    </w:lvl>
    <w:lvl w:ilvl="6" w:tplc="3154C4DA">
      <w:numFmt w:val="bullet"/>
      <w:lvlText w:val="•"/>
      <w:lvlJc w:val="left"/>
      <w:pPr>
        <w:ind w:left="6591" w:hanging="360"/>
      </w:pPr>
      <w:rPr>
        <w:rFonts w:hint="default"/>
        <w:lang w:val="it-IT" w:eastAsia="it-IT" w:bidi="it-IT"/>
      </w:rPr>
    </w:lvl>
    <w:lvl w:ilvl="7" w:tplc="5FD00D34">
      <w:numFmt w:val="bullet"/>
      <w:lvlText w:val="•"/>
      <w:lvlJc w:val="left"/>
      <w:pPr>
        <w:ind w:left="7673" w:hanging="360"/>
      </w:pPr>
      <w:rPr>
        <w:rFonts w:hint="default"/>
        <w:lang w:val="it-IT" w:eastAsia="it-IT" w:bidi="it-IT"/>
      </w:rPr>
    </w:lvl>
    <w:lvl w:ilvl="8" w:tplc="0934772E">
      <w:numFmt w:val="bullet"/>
      <w:lvlText w:val="•"/>
      <w:lvlJc w:val="left"/>
      <w:pPr>
        <w:ind w:left="8755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64932D5F"/>
    <w:multiLevelType w:val="hybridMultilevel"/>
    <w:tmpl w:val="C2D04F8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0C"/>
    <w:rsid w:val="000B6DDA"/>
    <w:rsid w:val="00567F39"/>
    <w:rsid w:val="00784EF0"/>
    <w:rsid w:val="007E4C0C"/>
    <w:rsid w:val="008F52BC"/>
    <w:rsid w:val="00C5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F9DC"/>
  <w15:chartTrackingRefBased/>
  <w15:docId w15:val="{8DA6DF1B-2581-42A2-B442-8744528B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4C0C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5</cp:revision>
  <dcterms:created xsi:type="dcterms:W3CDTF">2023-10-03T06:03:00Z</dcterms:created>
  <dcterms:modified xsi:type="dcterms:W3CDTF">2023-10-17T12:50:00Z</dcterms:modified>
</cp:coreProperties>
</file>